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" w:hAnsi="仿宋" w:eastAsia="仿宋"/>
          <w:b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0"/>
          <w:szCs w:val="40"/>
        </w:rPr>
        <w:t>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eastAsia"/>
          <w:sz w:val="28"/>
          <w:szCs w:val="28"/>
          <w:lang w:eastAsia="zh-CN"/>
        </w:rPr>
        <w:t>浙江易呗电子商务有限公司</w:t>
      </w:r>
      <w:r>
        <w:rPr>
          <w:rFonts w:hint="eastAsia"/>
          <w:sz w:val="28"/>
          <w:szCs w:val="28"/>
        </w:rPr>
        <w:t>破产清算案债权分配完毕之日止，若有发生受偿情况等，在受偿之日起3个工作日内向管理人书面报告受偿情况，否则可视同虚假申报；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r>
        <w:rPr>
          <w:rFonts w:hint="eastAsia"/>
          <w:sz w:val="28"/>
          <w:szCs w:val="28"/>
          <w:lang w:val="en-US" w:eastAsia="zh-CN"/>
        </w:rPr>
        <w:t>浙江易呗电子商务有限公司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wordWrap w:val="0"/>
      <w:ind w:right="-58"/>
      <w:jc w:val="both"/>
    </w:pPr>
    <w:r>
      <w:rPr>
        <w:rFonts w:hint="eastAsia" w:ascii="仿宋_GB2312" w:eastAsia="仿宋_GB2312"/>
        <w:lang w:val="en-US" w:eastAsia="zh-CN"/>
      </w:rPr>
      <w:t>浙江易呗电子商务有限公司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jAzZjlmMjk3OWM1NGQ5ZTkyMjk1YzRjNWIxMmEifQ=="/>
  </w:docVars>
  <w:rsids>
    <w:rsidRoot w:val="48B27361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72651F0"/>
    <w:rsid w:val="38B715FC"/>
    <w:rsid w:val="396C5A53"/>
    <w:rsid w:val="3B1E7C37"/>
    <w:rsid w:val="3CB876C2"/>
    <w:rsid w:val="48B27361"/>
    <w:rsid w:val="49E37F0D"/>
    <w:rsid w:val="58EB4CD9"/>
    <w:rsid w:val="67FC2530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1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2021-08-09T04:53:00Z</dcterms:created>
  <dc:creator>IVYAN玮</dc:creator>
  <cp:lastModifiedBy>Chuck、</cp:lastModifiedBy>
  <dcterms:modified xsi:type="dcterms:W3CDTF">2023-03-08T11:29:21Z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1D8E2202248E4943A2CB8195D8E0B68F</vt:lpwstr>
  </property>
</Properties>
</file>